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firstLine="0" w:firstLineChars="0"/>
        <w:jc w:val="both"/>
        <w:rPr>
          <w:rFonts w:hint="eastAsia"/>
          <w:b w:val="0"/>
          <w:sz w:val="24"/>
          <w:szCs w:val="24"/>
        </w:rPr>
      </w:pPr>
    </w:p>
    <w:p>
      <w:pPr>
        <w:pStyle w:val="3"/>
        <w:spacing w:line="600" w:lineRule="exact"/>
        <w:ind w:firstLine="0" w:firstLineChars="0"/>
        <w:jc w:val="both"/>
        <w:rPr>
          <w:rFonts w:hint="eastAsia"/>
          <w:b w:val="0"/>
          <w:sz w:val="24"/>
          <w:szCs w:val="24"/>
        </w:rPr>
      </w:pPr>
    </w:p>
    <w:p>
      <w:pPr>
        <w:keepNext w:val="0"/>
        <w:keepLines w:val="0"/>
        <w:pageBreakBefore w:val="0"/>
        <w:widowControl w:val="0"/>
        <w:tabs>
          <w:tab w:val="left" w:pos="2384"/>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仿宋_GB2312" w:hAnsi="仿宋_GB2312" w:eastAsia="仿宋_GB2312" w:cs="仿宋_GB2312"/>
          <w:bCs/>
          <w:sz w:val="28"/>
          <w:szCs w:val="28"/>
        </w:rPr>
      </w:pPr>
    </w:p>
    <w:p>
      <w:pPr>
        <w:keepNext w:val="0"/>
        <w:keepLines w:val="0"/>
        <w:pageBreakBefore w:val="0"/>
        <w:widowControl w:val="0"/>
        <w:tabs>
          <w:tab w:val="left" w:pos="2384"/>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ascii="仿宋_GB2312" w:hAnsi="仿宋_GB2312" w:eastAsia="仿宋_GB2312" w:cs="仿宋_GB2312"/>
          <w:bCs/>
          <w:sz w:val="28"/>
          <w:szCs w:val="28"/>
        </w:rPr>
      </w:pPr>
    </w:p>
    <w:p>
      <w:pPr>
        <w:keepNext w:val="0"/>
        <w:keepLines w:val="0"/>
        <w:pageBreakBefore w:val="0"/>
        <w:widowControl w:val="0"/>
        <w:tabs>
          <w:tab w:val="left" w:pos="2384"/>
        </w:tabs>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b/>
          <w:sz w:val="28"/>
          <w:szCs w:val="28"/>
        </w:rPr>
      </w:pPr>
    </w:p>
    <w:p>
      <w:pPr>
        <w:spacing w:line="600" w:lineRule="exact"/>
        <w:jc w:val="center"/>
        <w:rPr>
          <w:rFonts w:hint="eastAsia" w:ascii="仿宋_GB2312" w:eastAsia="仿宋_GB2312"/>
          <w:sz w:val="32"/>
          <w:szCs w:val="32"/>
        </w:rPr>
      </w:pPr>
      <w:r>
        <w:rPr>
          <w:rFonts w:hint="eastAsia" w:ascii="仿宋_GB2312" w:eastAsia="仿宋_GB2312"/>
          <w:sz w:val="32"/>
          <w:szCs w:val="32"/>
        </w:rPr>
        <w:t>枣高管</w:t>
      </w:r>
      <w:r>
        <w:rPr>
          <w:rFonts w:hint="eastAsia" w:ascii="仿宋_GB2312" w:eastAsia="仿宋_GB2312"/>
          <w:sz w:val="32"/>
          <w:szCs w:val="32"/>
          <w:lang w:eastAsia="zh-CN"/>
        </w:rPr>
        <w:t>发</w:t>
      </w:r>
      <w:r>
        <w:rPr>
          <w:rFonts w:hint="eastAsia" w:ascii="仿宋_GB2312" w:eastAsia="仿宋_GB2312"/>
          <w:sz w:val="32"/>
          <w:szCs w:val="32"/>
        </w:rPr>
        <w:t>〔2020〕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line="600" w:lineRule="exact"/>
        <w:rPr>
          <w:rFonts w:hint="eastAsia" w:ascii="仿宋_GB2312" w:eastAsia="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枣庄高新</w:t>
      </w:r>
      <w:bookmarkStart w:id="0" w:name="_GoBack"/>
      <w:bookmarkEnd w:id="0"/>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区管理委员会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关于深化相对集中行政许可权改革规范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rPr>
      </w:pPr>
      <w:r>
        <w:rPr>
          <w:rFonts w:hint="eastAsia" w:ascii="方正小标宋简体" w:hAnsi="方正小标宋简体" w:eastAsia="方正小标宋简体" w:cs="方正小标宋简体"/>
          <w:b w:val="0"/>
          <w:i w:val="0"/>
          <w:caps w:val="0"/>
          <w:color w:val="auto"/>
          <w:spacing w:val="0"/>
          <w:sz w:val="44"/>
          <w:szCs w:val="44"/>
          <w:shd w:val="clear" w:fill="FFFFFF"/>
        </w:rPr>
        <w:t>行政审批服务工作的通知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ascii="方正小标宋简体" w:hAnsi="方正小标宋简体" w:eastAsia="方正小标宋简体" w:cs="方正小标宋简体"/>
          <w:i w:val="0"/>
          <w:caps w:val="0"/>
          <w:color w:val="000000"/>
          <w:spacing w:val="0"/>
          <w:sz w:val="43"/>
          <w:szCs w:val="43"/>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各街道办事处，</w:t>
      </w:r>
      <w:r>
        <w:rPr>
          <w:rFonts w:hint="eastAsia" w:ascii="仿宋_GB2312" w:hAnsi="仿宋_GB2312" w:eastAsia="仿宋_GB2312" w:cs="仿宋_GB2312"/>
          <w:i w:val="0"/>
          <w:caps w:val="0"/>
          <w:color w:val="000000"/>
          <w:spacing w:val="0"/>
          <w:sz w:val="32"/>
          <w:szCs w:val="32"/>
          <w:shd w:val="clear" w:fill="FFFFFF"/>
          <w:lang w:eastAsia="zh-CN"/>
        </w:rPr>
        <w:t>区</w:t>
      </w:r>
      <w:r>
        <w:rPr>
          <w:rFonts w:hint="eastAsia" w:ascii="仿宋_GB2312" w:hAnsi="仿宋_GB2312" w:eastAsia="仿宋_GB2312" w:cs="仿宋_GB2312"/>
          <w:i w:val="0"/>
          <w:caps w:val="0"/>
          <w:color w:val="000000"/>
          <w:spacing w:val="0"/>
          <w:sz w:val="32"/>
          <w:szCs w:val="32"/>
          <w:shd w:val="clear" w:fill="FFFFFF"/>
          <w:lang w:val="en-US" w:eastAsia="zh-CN"/>
        </w:rPr>
        <w:t>各部门单位</w:t>
      </w:r>
      <w:r>
        <w:rPr>
          <w:rFonts w:hint="eastAsia" w:ascii="仿宋_GB2312" w:hAnsi="仿宋_GB2312" w:eastAsia="仿宋_GB2312" w:cs="仿宋_GB2312"/>
          <w:i w:val="0"/>
          <w:caps w:val="0"/>
          <w:color w:val="000000"/>
          <w:spacing w:val="0"/>
          <w:sz w:val="32"/>
          <w:szCs w:val="32"/>
          <w:shd w:val="clear" w:fill="FFFFFF"/>
        </w:rPr>
        <w:t>，各</w:t>
      </w:r>
      <w:r>
        <w:rPr>
          <w:rFonts w:hint="eastAsia" w:ascii="仿宋_GB2312" w:hAnsi="仿宋_GB2312" w:eastAsia="仿宋_GB2312" w:cs="仿宋_GB2312"/>
          <w:i w:val="0"/>
          <w:caps w:val="0"/>
          <w:color w:val="000000"/>
          <w:spacing w:val="0"/>
          <w:sz w:val="32"/>
          <w:szCs w:val="32"/>
          <w:shd w:val="clear" w:fill="FFFFFF"/>
          <w:lang w:val="en-US" w:eastAsia="zh-CN"/>
        </w:rPr>
        <w:t>集团、运营公司</w:t>
      </w:r>
      <w:r>
        <w:rPr>
          <w:rFonts w:hint="eastAsia" w:ascii="仿宋_GB2312" w:hAnsi="仿宋_GB2312" w:eastAsia="仿宋_GB2312" w:cs="仿宋_GB2312"/>
          <w:i w:val="0"/>
          <w:caps w:val="0"/>
          <w:color w:val="000000"/>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为进一步深化相对集中行政许可权改革，着力构建简约高效便民的行政审批体制机制，加快实现“一枚印章管审批”，根据《中共山东省委山东省</w:t>
      </w:r>
      <w:r>
        <w:rPr>
          <w:rFonts w:hint="eastAsia" w:ascii="仿宋_GB2312" w:hAnsi="仿宋_GB2312" w:eastAsia="仿宋_GB2312" w:cs="仿宋_GB2312"/>
          <w:i w:val="0"/>
          <w:caps w:val="0"/>
          <w:color w:val="000000"/>
          <w:spacing w:val="0"/>
          <w:sz w:val="32"/>
          <w:szCs w:val="32"/>
          <w:shd w:val="clear" w:fill="FFFFFF"/>
          <w:lang w:eastAsia="zh-CN"/>
        </w:rPr>
        <w:t>人民</w:t>
      </w:r>
      <w:r>
        <w:rPr>
          <w:rFonts w:hint="eastAsia" w:ascii="仿宋_GB2312" w:hAnsi="仿宋_GB2312" w:eastAsia="仿宋_GB2312" w:cs="仿宋_GB2312"/>
          <w:i w:val="0"/>
          <w:caps w:val="0"/>
          <w:color w:val="000000"/>
          <w:spacing w:val="0"/>
          <w:sz w:val="32"/>
          <w:szCs w:val="32"/>
          <w:shd w:val="clear" w:fill="FFFFFF"/>
        </w:rPr>
        <w:t>政府关于深化制度创新加快流程再造的指导意见》（鲁发〔2020〕8号）《枣庄市人民政府关于深化相对集中行政许可权改革规范市县行政审批服务工作的通知》（枣政字〔2020〕12号）等文件精神，结合我</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实际，现就深化相对集中行政许可权改革规范行政审批服务工作有关事项通知如下：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坚持以人民为中心的发展思想，牢固树立新发展理念，深入贯彻落实深化制度创新加快流程再造部署要求，以“精简、统一、效能、便民”为原则，聚焦规范行政审批服务工作，以划转事项承接调整到位、优化审管衔接联动机制、强化信息支撑和行业指导等为重点，统筹协调推动相对集中行政许可权改革不断深化，着力构建系统完善、科学规范、权责统一、运转高效的审批服务体系。</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主要任务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楷体_GB2312" w:hAnsi="楷体_GB2312" w:eastAsia="楷体_GB2312" w:cs="楷体_GB2312"/>
          <w:b w:val="0"/>
          <w:bCs w:val="0"/>
          <w:color w:val="000000"/>
          <w:kern w:val="0"/>
          <w:sz w:val="32"/>
          <w:szCs w:val="32"/>
          <w:lang w:val="en-US" w:eastAsia="zh-CN" w:bidi="ar"/>
        </w:rPr>
        <w:t>（一）科学调整制定划转事项。</w:t>
      </w:r>
      <w:r>
        <w:rPr>
          <w:rFonts w:ascii="仿宋_GB2312" w:hAnsi="宋体" w:eastAsia="仿宋_GB2312" w:cs="仿宋_GB2312"/>
          <w:color w:val="000000"/>
          <w:kern w:val="0"/>
          <w:sz w:val="32"/>
          <w:szCs w:val="32"/>
          <w:lang w:val="en-US" w:eastAsia="zh-CN" w:bidi="ar"/>
        </w:rPr>
        <w:t>按照市县两级划转事项基</w:t>
      </w:r>
      <w:r>
        <w:rPr>
          <w:rFonts w:hint="eastAsia" w:ascii="仿宋_GB2312" w:hAnsi="宋体" w:eastAsia="仿宋_GB2312" w:cs="仿宋_GB2312"/>
          <w:color w:val="000000"/>
          <w:kern w:val="0"/>
          <w:sz w:val="32"/>
          <w:szCs w:val="32"/>
          <w:lang w:val="en-US" w:eastAsia="zh-CN" w:bidi="ar"/>
        </w:rPr>
        <w:t>本统一、重点事项审批链条完整闭合、集中办理联动优势有效发挥、审批服务效能显著提升的原则，对照有关划转事项指导目录，制定《枣庄高新区行政审批局划转事项清单》（见附件），清单中所列事项原则上全部划转至行政审批局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（二）确保划转事项承接落实到位。</w:t>
      </w:r>
      <w:r>
        <w:rPr>
          <w:rFonts w:hint="eastAsia" w:ascii="仿宋_GB2312" w:hAnsi="仿宋_GB2312" w:eastAsia="仿宋_GB2312" w:cs="仿宋_GB2312"/>
          <w:i w:val="0"/>
          <w:caps w:val="0"/>
          <w:color w:val="000000"/>
          <w:spacing w:val="0"/>
          <w:sz w:val="32"/>
          <w:szCs w:val="32"/>
          <w:shd w:val="clear" w:fill="FFFFFF"/>
        </w:rPr>
        <w:t>推动划转事项有序衔接，统筹推进划</w:t>
      </w:r>
      <w:r>
        <w:rPr>
          <w:rFonts w:hint="eastAsia" w:ascii="仿宋_GB2312" w:hAnsi="仿宋_GB2312" w:eastAsia="仿宋_GB2312" w:cs="仿宋_GB2312"/>
          <w:i w:val="0"/>
          <w:caps w:val="0"/>
          <w:color w:val="000000"/>
          <w:spacing w:val="0"/>
          <w:sz w:val="32"/>
          <w:szCs w:val="32"/>
          <w:highlight w:val="none"/>
          <w:shd w:val="clear" w:fill="FFFFFF"/>
        </w:rPr>
        <w:t>转事项交接、人员划转、审批系统对接、业务培训等工作，原审批部门要</w:t>
      </w:r>
      <w:r>
        <w:rPr>
          <w:rFonts w:hint="eastAsia" w:ascii="仿宋_GB2312" w:hAnsi="仿宋_GB2312" w:eastAsia="仿宋_GB2312" w:cs="仿宋_GB2312"/>
          <w:i w:val="0"/>
          <w:caps w:val="0"/>
          <w:color w:val="000000"/>
          <w:spacing w:val="0"/>
          <w:sz w:val="32"/>
          <w:szCs w:val="32"/>
          <w:highlight w:val="none"/>
          <w:shd w:val="clear" w:fill="FFFFFF"/>
          <w:lang w:val="en-US" w:eastAsia="zh-CN"/>
        </w:rPr>
        <w:t>对照</w:t>
      </w:r>
      <w:r>
        <w:rPr>
          <w:rFonts w:hint="eastAsia" w:ascii="仿宋_GB2312" w:hAnsi="宋体" w:eastAsia="仿宋_GB2312" w:cs="仿宋_GB2312"/>
          <w:color w:val="000000"/>
          <w:kern w:val="0"/>
          <w:sz w:val="32"/>
          <w:szCs w:val="32"/>
          <w:highlight w:val="none"/>
          <w:lang w:val="en-US" w:eastAsia="zh-CN" w:bidi="ar"/>
        </w:rPr>
        <w:t>《</w:t>
      </w:r>
      <w:r>
        <w:rPr>
          <w:rFonts w:hint="eastAsia" w:ascii="仿宋_GB2312" w:hAnsi="宋体" w:eastAsia="仿宋_GB2312" w:cs="仿宋_GB2312"/>
          <w:color w:val="000000"/>
          <w:kern w:val="0"/>
          <w:sz w:val="32"/>
          <w:szCs w:val="32"/>
          <w:lang w:val="en-US" w:eastAsia="zh-CN" w:bidi="ar"/>
        </w:rPr>
        <w:t>枣庄高新区行政审批局划转事项清单</w:t>
      </w:r>
      <w:r>
        <w:rPr>
          <w:rFonts w:hint="eastAsia" w:ascii="仿宋_GB2312" w:hAnsi="宋体" w:eastAsia="仿宋_GB2312" w:cs="仿宋_GB2312"/>
          <w:color w:val="000000"/>
          <w:kern w:val="0"/>
          <w:sz w:val="32"/>
          <w:szCs w:val="32"/>
          <w:highlight w:val="none"/>
          <w:lang w:val="en-US" w:eastAsia="zh-CN" w:bidi="ar"/>
        </w:rPr>
        <w:t>》</w:t>
      </w:r>
      <w:r>
        <w:rPr>
          <w:rFonts w:hint="eastAsia" w:ascii="仿宋_GB2312" w:hAnsi="仿宋_GB2312" w:eastAsia="仿宋_GB2312" w:cs="仿宋_GB2312"/>
          <w:i w:val="0"/>
          <w:caps w:val="0"/>
          <w:color w:val="000000"/>
          <w:spacing w:val="0"/>
          <w:sz w:val="32"/>
          <w:szCs w:val="32"/>
          <w:highlight w:val="none"/>
          <w:shd w:val="clear" w:fill="FFFFFF"/>
        </w:rPr>
        <w:t>为</w:t>
      </w:r>
      <w:r>
        <w:rPr>
          <w:rFonts w:hint="eastAsia" w:ascii="仿宋_GB2312" w:hAnsi="仿宋_GB2312" w:eastAsia="仿宋_GB2312" w:cs="仿宋_GB2312"/>
          <w:i w:val="0"/>
          <w:caps w:val="0"/>
          <w:color w:val="000000"/>
          <w:spacing w:val="0"/>
          <w:sz w:val="32"/>
          <w:szCs w:val="32"/>
          <w:highlight w:val="none"/>
          <w:shd w:val="clear" w:fill="FFFFFF"/>
          <w:lang w:val="en-US" w:eastAsia="zh-CN"/>
        </w:rPr>
        <w:t>区行政审批局</w:t>
      </w:r>
      <w:r>
        <w:rPr>
          <w:rFonts w:hint="eastAsia" w:ascii="仿宋_GB2312" w:hAnsi="仿宋_GB2312" w:eastAsia="仿宋_GB2312" w:cs="仿宋_GB2312"/>
          <w:i w:val="0"/>
          <w:caps w:val="0"/>
          <w:color w:val="000000"/>
          <w:spacing w:val="0"/>
          <w:sz w:val="32"/>
          <w:szCs w:val="32"/>
          <w:highlight w:val="none"/>
          <w:shd w:val="clear" w:fill="FFFFFF"/>
        </w:rPr>
        <w:t>提供全面的法律法规、审批标准、政策指导和技术服务等综合支持，</w:t>
      </w:r>
      <w:r>
        <w:rPr>
          <w:rFonts w:hint="eastAsia" w:ascii="仿宋_GB2312" w:hAnsi="仿宋_GB2312" w:eastAsia="仿宋_GB2312" w:cs="仿宋_GB2312"/>
          <w:i w:val="0"/>
          <w:caps w:val="0"/>
          <w:color w:val="000000"/>
          <w:spacing w:val="0"/>
          <w:sz w:val="32"/>
          <w:szCs w:val="32"/>
          <w:highlight w:val="none"/>
          <w:shd w:val="clear" w:fill="FFFFFF"/>
          <w:lang w:val="en-US" w:eastAsia="zh-CN"/>
        </w:rPr>
        <w:t>做到</w:t>
      </w:r>
      <w:r>
        <w:rPr>
          <w:rFonts w:hint="eastAsia" w:ascii="仿宋_GB2312" w:hAnsi="仿宋_GB2312" w:eastAsia="仿宋_GB2312" w:cs="仿宋_GB2312"/>
          <w:i w:val="0"/>
          <w:caps w:val="0"/>
          <w:color w:val="000000"/>
          <w:spacing w:val="0"/>
          <w:sz w:val="32"/>
          <w:szCs w:val="32"/>
          <w:highlight w:val="none"/>
          <w:shd w:val="clear" w:fill="FFFFFF"/>
        </w:rPr>
        <w:t>“包教包会”。要结合事项划转工作，在对行政审批局人员配备情况评估的基础上，统筹调配行政审批局工作力量，确保划转事项有序承接、有序运行。涉及</w:t>
      </w:r>
      <w:r>
        <w:rPr>
          <w:rFonts w:hint="eastAsia" w:ascii="仿宋_GB2312" w:hAnsi="仿宋_GB2312" w:eastAsia="仿宋_GB2312" w:cs="仿宋_GB2312"/>
          <w:i w:val="0"/>
          <w:caps w:val="0"/>
          <w:color w:val="000000"/>
          <w:spacing w:val="0"/>
          <w:sz w:val="32"/>
          <w:szCs w:val="32"/>
          <w:shd w:val="clear" w:fill="FFFFFF"/>
        </w:rPr>
        <w:t>重大调整和重大问题，应及时提交党</w:t>
      </w:r>
      <w:r>
        <w:rPr>
          <w:rFonts w:hint="eastAsia" w:ascii="仿宋_GB2312" w:hAnsi="仿宋_GB2312" w:eastAsia="仿宋_GB2312" w:cs="仿宋_GB2312"/>
          <w:i w:val="0"/>
          <w:caps w:val="0"/>
          <w:color w:val="000000"/>
          <w:spacing w:val="0"/>
          <w:sz w:val="32"/>
          <w:szCs w:val="32"/>
          <w:shd w:val="clear" w:fill="FFFFFF"/>
          <w:lang w:val="en-US" w:eastAsia="zh-CN"/>
        </w:rPr>
        <w:t>工</w:t>
      </w:r>
      <w:r>
        <w:rPr>
          <w:rFonts w:hint="eastAsia" w:ascii="仿宋_GB2312" w:hAnsi="仿宋_GB2312" w:eastAsia="仿宋_GB2312" w:cs="仿宋_GB2312"/>
          <w:i w:val="0"/>
          <w:caps w:val="0"/>
          <w:color w:val="000000"/>
          <w:spacing w:val="0"/>
          <w:sz w:val="32"/>
          <w:szCs w:val="32"/>
          <w:shd w:val="clear" w:fill="FFFFFF"/>
        </w:rPr>
        <w:t>委、</w:t>
      </w:r>
      <w:r>
        <w:rPr>
          <w:rFonts w:hint="eastAsia" w:ascii="仿宋_GB2312" w:hAnsi="仿宋_GB2312" w:eastAsia="仿宋_GB2312" w:cs="仿宋_GB2312"/>
          <w:i w:val="0"/>
          <w:caps w:val="0"/>
          <w:color w:val="000000"/>
          <w:spacing w:val="0"/>
          <w:sz w:val="32"/>
          <w:szCs w:val="32"/>
          <w:shd w:val="clear" w:fill="FFFFFF"/>
          <w:lang w:val="en-US" w:eastAsia="zh-CN"/>
        </w:rPr>
        <w:t>管委会</w:t>
      </w:r>
      <w:r>
        <w:rPr>
          <w:rFonts w:hint="eastAsia" w:ascii="仿宋_GB2312" w:hAnsi="仿宋_GB2312" w:eastAsia="仿宋_GB2312" w:cs="仿宋_GB2312"/>
          <w:i w:val="0"/>
          <w:caps w:val="0"/>
          <w:color w:val="000000"/>
          <w:spacing w:val="0"/>
          <w:sz w:val="32"/>
          <w:szCs w:val="32"/>
          <w:shd w:val="clear" w:fill="FFFFFF"/>
        </w:rPr>
        <w:t>研究解决。</w:t>
      </w:r>
      <w:r>
        <w:rPr>
          <w:rFonts w:hint="eastAsia" w:ascii="仿宋_GB2312" w:hAnsi="仿宋_GB2312" w:eastAsia="仿宋_GB2312" w:cs="仿宋_GB2312"/>
          <w:i w:val="0"/>
          <w:caps w:val="0"/>
          <w:color w:val="000000"/>
          <w:spacing w:val="0"/>
          <w:sz w:val="32"/>
          <w:szCs w:val="32"/>
          <w:shd w:val="clear" w:fill="FFFFFF"/>
          <w:lang w:val="en-US" w:eastAsia="zh-CN"/>
        </w:rPr>
        <w:t>区行政审批局</w:t>
      </w:r>
      <w:r>
        <w:rPr>
          <w:rFonts w:hint="eastAsia" w:ascii="仿宋_GB2312" w:hAnsi="仿宋_GB2312" w:eastAsia="仿宋_GB2312" w:cs="仿宋_GB2312"/>
          <w:i w:val="0"/>
          <w:caps w:val="0"/>
          <w:color w:val="000000"/>
          <w:spacing w:val="0"/>
          <w:sz w:val="32"/>
          <w:szCs w:val="32"/>
          <w:shd w:val="clear" w:fill="FFFFFF"/>
        </w:rPr>
        <w:t>要进一步发挥相对集中行政许可权优势，深入推进流程再造，精简审批环节，压缩审批时限，推动行政审批服务提速增效，充分发挥“一枚印章管审批”机制作用。清单之外的事项，由行业主管部门实施，并按照“三集中、三到位”要求进驻政务服务大厅，接受行政审批局的统一协调指导监督，基本实现“大厅之外无审批”。对划转事项涉及的关联事项，要按照“一链办理”的要求一并划转。清单公布后，应保持划转事项相对稳定，确需调整的，经</w:t>
      </w:r>
      <w:r>
        <w:rPr>
          <w:rFonts w:hint="eastAsia" w:ascii="仿宋_GB2312" w:hAnsi="仿宋_GB2312" w:eastAsia="仿宋_GB2312" w:cs="仿宋_GB2312"/>
          <w:i w:val="0"/>
          <w:caps w:val="0"/>
          <w:color w:val="000000"/>
          <w:spacing w:val="0"/>
          <w:sz w:val="32"/>
          <w:szCs w:val="32"/>
          <w:shd w:val="clear" w:fill="FFFFFF"/>
          <w:lang w:val="en-US" w:eastAsia="zh-CN"/>
        </w:rPr>
        <w:t>管委会</w:t>
      </w:r>
      <w:r>
        <w:rPr>
          <w:rFonts w:hint="eastAsia" w:ascii="仿宋_GB2312" w:hAnsi="仿宋_GB2312" w:eastAsia="仿宋_GB2312" w:cs="仿宋_GB2312"/>
          <w:i w:val="0"/>
          <w:caps w:val="0"/>
          <w:color w:val="000000"/>
          <w:spacing w:val="0"/>
          <w:sz w:val="32"/>
          <w:szCs w:val="32"/>
          <w:shd w:val="clear" w:fill="FFFFFF"/>
        </w:rPr>
        <w:t>研究确定后，及时向社会公布。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（三）优化审管衔接联动机制。</w:t>
      </w:r>
      <w:r>
        <w:rPr>
          <w:rFonts w:hint="eastAsia" w:ascii="仿宋_GB2312" w:hAnsi="仿宋_GB2312" w:eastAsia="仿宋_GB2312" w:cs="仿宋_GB2312"/>
          <w:i w:val="0"/>
          <w:caps w:val="0"/>
          <w:color w:val="000000"/>
          <w:spacing w:val="0"/>
          <w:sz w:val="32"/>
          <w:szCs w:val="32"/>
          <w:shd w:val="clear" w:fill="FFFFFF"/>
        </w:rPr>
        <w:t>严格遵循“谁审批谁负责、谁主管谁监管”的原则，依法界定行政审批局、行业主管部门及相关执法机构之间的职责关系，逐项理顺职责分工。要健全完善审批监管工作会商制度，强化行政审批局、行业主管部门及相关执法机构之间的协调联动。进一步规范审管衔接备忘录，逐项载明审管职责边界、审管信息双向反馈、技术支撑办理等内容。优化审管信息双向反馈机制，建立完善审管信息互动平台，明确推送对象、内容、时限等。优化技术支撑保障机制，对现场踏勘、技术审查、检验检测以及组织听证论证等办理环节，结合工作实际，分类分事项明确行政审批局、行业主管部门的主体责任和配合责任，以及职责分工、实施程序、完成时限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（四）强化信息支撑和行业指导。</w:t>
      </w:r>
      <w:r>
        <w:rPr>
          <w:rFonts w:hint="eastAsia" w:ascii="仿宋_GB2312" w:hAnsi="仿宋_GB2312" w:eastAsia="仿宋_GB2312" w:cs="仿宋_GB2312"/>
          <w:i w:val="0"/>
          <w:caps w:val="0"/>
          <w:color w:val="000000"/>
          <w:spacing w:val="0"/>
          <w:sz w:val="32"/>
          <w:szCs w:val="32"/>
          <w:shd w:val="clear" w:fill="FFFFFF"/>
        </w:rPr>
        <w:t>加快省、市、</w:t>
      </w:r>
      <w:r>
        <w:rPr>
          <w:rFonts w:hint="eastAsia" w:ascii="仿宋_GB2312" w:hAnsi="仿宋_GB2312" w:eastAsia="仿宋_GB2312" w:cs="仿宋_GB2312"/>
          <w:i w:val="0"/>
          <w:caps w:val="0"/>
          <w:color w:val="000000"/>
          <w:spacing w:val="0"/>
          <w:sz w:val="32"/>
          <w:szCs w:val="32"/>
          <w:shd w:val="clear" w:fill="FFFFFF"/>
          <w:lang w:eastAsia="zh-CN"/>
        </w:rPr>
        <w:t>区</w:t>
      </w:r>
      <w:r>
        <w:rPr>
          <w:rFonts w:hint="eastAsia" w:ascii="仿宋_GB2312" w:hAnsi="仿宋_GB2312" w:eastAsia="仿宋_GB2312" w:cs="仿宋_GB2312"/>
          <w:i w:val="0"/>
          <w:caps w:val="0"/>
          <w:color w:val="000000"/>
          <w:spacing w:val="0"/>
          <w:sz w:val="32"/>
          <w:szCs w:val="32"/>
          <w:shd w:val="clear" w:fill="FFFFFF"/>
        </w:rPr>
        <w:t>自建系统与一体化政务服务平台对接联通，推动实体大厅向一体化政务服务平台、移动客户端、自助终端延伸，实现全</w:t>
      </w:r>
      <w:r>
        <w:rPr>
          <w:rFonts w:hint="eastAsia" w:ascii="仿宋_GB2312" w:hAnsi="仿宋_GB2312" w:eastAsia="仿宋_GB2312" w:cs="仿宋_GB2312"/>
          <w:i w:val="0"/>
          <w:caps w:val="0"/>
          <w:color w:val="000000"/>
          <w:spacing w:val="0"/>
          <w:sz w:val="32"/>
          <w:szCs w:val="32"/>
          <w:shd w:val="clear" w:fill="FFFFFF"/>
          <w:lang w:val="en-US" w:eastAsia="zh-CN"/>
        </w:rPr>
        <w:t>区</w:t>
      </w:r>
      <w:r>
        <w:rPr>
          <w:rFonts w:hint="eastAsia" w:ascii="仿宋_GB2312" w:hAnsi="仿宋_GB2312" w:eastAsia="仿宋_GB2312" w:cs="仿宋_GB2312"/>
          <w:i w:val="0"/>
          <w:caps w:val="0"/>
          <w:color w:val="000000"/>
          <w:spacing w:val="0"/>
          <w:sz w:val="32"/>
          <w:szCs w:val="32"/>
          <w:shd w:val="clear" w:fill="FFFFFF"/>
        </w:rPr>
        <w:t>政务服务“一网通办”、线上线下融合通办。有关行业主管部门要向行政审批局开放自建系统端口和共享数据，提供用户账号、密钥、审批权限等；涉及国家建设系统的，有关行业主管部门要积极与</w:t>
      </w:r>
      <w:r>
        <w:rPr>
          <w:rFonts w:hint="eastAsia" w:ascii="仿宋_GB2312" w:hAnsi="仿宋_GB2312" w:eastAsia="仿宋_GB2312" w:cs="仿宋_GB2312"/>
          <w:i w:val="0"/>
          <w:caps w:val="0"/>
          <w:color w:val="000000"/>
          <w:spacing w:val="0"/>
          <w:sz w:val="32"/>
          <w:szCs w:val="32"/>
          <w:shd w:val="clear" w:fill="FFFFFF"/>
          <w:lang w:val="en-US" w:eastAsia="zh-CN"/>
        </w:rPr>
        <w:t>上级</w:t>
      </w:r>
      <w:r>
        <w:rPr>
          <w:rFonts w:hint="eastAsia" w:ascii="仿宋_GB2312" w:hAnsi="仿宋_GB2312" w:eastAsia="仿宋_GB2312" w:cs="仿宋_GB2312"/>
          <w:i w:val="0"/>
          <w:caps w:val="0"/>
          <w:color w:val="000000"/>
          <w:spacing w:val="0"/>
          <w:sz w:val="32"/>
          <w:szCs w:val="32"/>
          <w:shd w:val="clear" w:fill="FFFFFF"/>
        </w:rPr>
        <w:t>部门对接，确保事项办理和数据查询需求。行业主管部门要加强对划转事项实施的监督指导。各行业主管部门制发、转发与划转事项相关的文件，要同时发行政审批局；组织相关业务会议、培训等活动，要通知行政审批局参加。涉及国家有关部门终审或者需要省外认可的行政许可事项，需要行业主管部门认证或者说明的，行业主管部门应当出具书面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sz w:val="32"/>
          <w:szCs w:val="32"/>
          <w:shd w:val="clear" w:fill="FFFFFF"/>
        </w:rPr>
        <w:t>三、组织实施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kern w:val="0"/>
          <w:sz w:val="32"/>
          <w:szCs w:val="32"/>
          <w:lang w:val="en-US" w:eastAsia="zh-CN" w:bidi="ar"/>
        </w:rPr>
        <w:t>（一）加强组织领导。</w:t>
      </w:r>
      <w:r>
        <w:rPr>
          <w:rFonts w:hint="eastAsia" w:ascii="仿宋_GB2312" w:hAnsi="仿宋_GB2312" w:eastAsia="仿宋_GB2312" w:cs="仿宋_GB2312"/>
          <w:i w:val="0"/>
          <w:caps w:val="0"/>
          <w:color w:val="000000"/>
          <w:spacing w:val="0"/>
          <w:sz w:val="32"/>
          <w:szCs w:val="32"/>
          <w:shd w:val="clear" w:fill="FFFFFF"/>
        </w:rPr>
        <w:t>深化相对集中行政许可权改革，是创新完善行政审批体制机制，提高审批服务便民化水平的重大决策，是深化制度创新加快流程再造的重要内容。各部门要增强“四个意识”，提高政治站位，切实担负起深化改革的主体责任，</w:t>
      </w:r>
      <w:r>
        <w:rPr>
          <w:rFonts w:hint="eastAsia" w:ascii="仿宋_GB2312" w:hAnsi="仿宋_GB2312" w:eastAsia="仿宋_GB2312" w:cs="仿宋_GB2312"/>
          <w:i w:val="0"/>
          <w:caps w:val="0"/>
          <w:color w:val="000000"/>
          <w:spacing w:val="0"/>
          <w:sz w:val="32"/>
          <w:szCs w:val="32"/>
          <w:shd w:val="clear" w:fill="FFFFFF"/>
          <w:lang w:val="en-US" w:eastAsia="zh-CN"/>
        </w:rPr>
        <w:t>有关部门</w:t>
      </w:r>
      <w:r>
        <w:rPr>
          <w:rFonts w:hint="eastAsia" w:ascii="仿宋_GB2312" w:hAnsi="仿宋_GB2312" w:eastAsia="仿宋_GB2312" w:cs="仿宋_GB2312"/>
          <w:i w:val="0"/>
          <w:caps w:val="0"/>
          <w:color w:val="000000"/>
          <w:spacing w:val="0"/>
          <w:sz w:val="32"/>
          <w:szCs w:val="32"/>
          <w:shd w:val="clear" w:fill="FFFFFF"/>
        </w:rPr>
        <w:t>主要负责同志要把这项改革作为打造“少高优强”一流营商环境的重要举措来抓，加强改革的总体谋划和指导协调，健全工作机制，及时协调解决重大问题，推动改革不断深化。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sz w:val="32"/>
          <w:szCs w:val="32"/>
          <w:highlight w:val="yellow"/>
        </w:rPr>
      </w:pPr>
      <w:r>
        <w:rPr>
          <w:rFonts w:hint="eastAsia" w:ascii="楷体_GB2312" w:hAnsi="楷体_GB2312" w:eastAsia="楷体_GB2312" w:cs="楷体_GB2312"/>
          <w:b w:val="0"/>
          <w:bCs w:val="0"/>
          <w:color w:val="000000"/>
          <w:kern w:val="0"/>
          <w:sz w:val="32"/>
          <w:szCs w:val="32"/>
          <w:lang w:val="en-US" w:eastAsia="zh-CN" w:bidi="ar"/>
        </w:rPr>
        <w:t>（二）强化支持保障。</w:t>
      </w:r>
      <w:r>
        <w:rPr>
          <w:rFonts w:hint="eastAsia" w:ascii="仿宋_GB2312" w:hAnsi="仿宋_GB2312" w:eastAsia="仿宋_GB2312" w:cs="仿宋_GB2312"/>
          <w:i w:val="0"/>
          <w:caps w:val="0"/>
          <w:color w:val="000000"/>
          <w:spacing w:val="0"/>
          <w:sz w:val="32"/>
          <w:szCs w:val="32"/>
          <w:shd w:val="clear" w:fill="FFFFFF"/>
        </w:rPr>
        <w:t>各部门要积极配合支持改革，任何单位和个人不得以任何理由、任何方式干预阻碍事项划转工作、不得要求行政审批局办理的事项加盖原审批部门公</w:t>
      </w:r>
      <w:r>
        <w:rPr>
          <w:rFonts w:hint="eastAsia" w:ascii="仿宋_GB2312" w:hAnsi="仿宋_GB2312" w:eastAsia="仿宋_GB2312" w:cs="仿宋_GB2312"/>
          <w:i w:val="0"/>
          <w:caps w:val="0"/>
          <w:color w:val="000000"/>
          <w:spacing w:val="0"/>
          <w:sz w:val="32"/>
          <w:szCs w:val="32"/>
          <w:highlight w:val="none"/>
          <w:shd w:val="clear" w:fill="FFFFFF"/>
        </w:rPr>
        <w:t>章。</w:t>
      </w:r>
      <w:r>
        <w:rPr>
          <w:rFonts w:hint="eastAsia" w:ascii="仿宋_GB2312" w:hAnsi="仿宋_GB2312" w:eastAsia="仿宋_GB2312" w:cs="仿宋_GB2312"/>
          <w:i w:val="0"/>
          <w:caps w:val="0"/>
          <w:color w:val="000000"/>
          <w:spacing w:val="0"/>
          <w:sz w:val="32"/>
          <w:szCs w:val="32"/>
          <w:highlight w:val="none"/>
          <w:shd w:val="clear" w:fill="FFFFFF"/>
          <w:lang w:val="en-US" w:eastAsia="zh-CN"/>
        </w:rPr>
        <w:t>党政综合办公室、行政审</w:t>
      </w:r>
      <w:r>
        <w:rPr>
          <w:rFonts w:hint="eastAsia" w:ascii="仿宋_GB2312" w:hAnsi="仿宋_GB2312" w:eastAsia="仿宋_GB2312" w:cs="仿宋_GB2312"/>
          <w:i w:val="0"/>
          <w:caps w:val="0"/>
          <w:color w:val="auto"/>
          <w:spacing w:val="0"/>
          <w:sz w:val="32"/>
          <w:szCs w:val="32"/>
          <w:highlight w:val="none"/>
          <w:shd w:val="clear" w:fill="FFFFFF"/>
          <w:lang w:val="en-US" w:eastAsia="zh-CN"/>
        </w:rPr>
        <w:t>批局要</w:t>
      </w:r>
      <w:r>
        <w:rPr>
          <w:rFonts w:hint="eastAsia" w:ascii="仿宋_GB2312" w:hAnsi="仿宋_GB2312" w:eastAsia="仿宋_GB2312" w:cs="仿宋_GB2312"/>
          <w:i w:val="0"/>
          <w:caps w:val="0"/>
          <w:color w:val="auto"/>
          <w:spacing w:val="0"/>
          <w:sz w:val="32"/>
          <w:szCs w:val="32"/>
          <w:highlight w:val="none"/>
          <w:shd w:val="clear" w:fill="FFFFFF"/>
        </w:rPr>
        <w:t>加强审批服务信息支撑，做好省、市、</w:t>
      </w:r>
      <w:r>
        <w:rPr>
          <w:rFonts w:hint="eastAsia" w:ascii="仿宋_GB2312" w:hAnsi="仿宋_GB2312" w:eastAsia="仿宋_GB2312" w:cs="仿宋_GB2312"/>
          <w:i w:val="0"/>
          <w:caps w:val="0"/>
          <w:color w:val="auto"/>
          <w:spacing w:val="0"/>
          <w:sz w:val="32"/>
          <w:szCs w:val="32"/>
          <w:highlight w:val="none"/>
          <w:shd w:val="clear" w:fill="FFFFFF"/>
          <w:lang w:eastAsia="zh-CN"/>
        </w:rPr>
        <w:t>区</w:t>
      </w:r>
      <w:r>
        <w:rPr>
          <w:rFonts w:hint="eastAsia" w:ascii="仿宋_GB2312" w:hAnsi="仿宋_GB2312" w:eastAsia="仿宋_GB2312" w:cs="仿宋_GB2312"/>
          <w:i w:val="0"/>
          <w:caps w:val="0"/>
          <w:color w:val="auto"/>
          <w:spacing w:val="0"/>
          <w:sz w:val="32"/>
          <w:szCs w:val="32"/>
          <w:highlight w:val="none"/>
          <w:shd w:val="clear" w:fill="FFFFFF"/>
        </w:rPr>
        <w:t>自建系统与一体化政务服务平台对接联通工作。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楷体_GB2312" w:hAnsi="楷体_GB2312" w:eastAsia="楷体_GB2312" w:cs="楷体_GB2312"/>
          <w:b w:val="0"/>
          <w:bCs w:val="0"/>
          <w:color w:val="000000"/>
          <w:kern w:val="0"/>
          <w:sz w:val="32"/>
          <w:szCs w:val="32"/>
          <w:lang w:val="en-US" w:eastAsia="zh-CN" w:bidi="ar"/>
        </w:rPr>
        <w:t>（三）强化督导检查。</w:t>
      </w:r>
      <w:r>
        <w:rPr>
          <w:rFonts w:hint="eastAsia" w:ascii="仿宋_GB2312" w:hAnsi="仿宋_GB2312" w:eastAsia="仿宋_GB2312" w:cs="仿宋_GB2312"/>
          <w:i w:val="0"/>
          <w:caps w:val="0"/>
          <w:color w:val="000000"/>
          <w:spacing w:val="0"/>
          <w:sz w:val="32"/>
          <w:szCs w:val="32"/>
          <w:shd w:val="clear" w:fill="FFFFFF"/>
        </w:rPr>
        <w:t>将深化相对集中行政许可权改革工作纳入重点工作督查和巡察范围，加强督促检查。</w:t>
      </w:r>
      <w:r>
        <w:rPr>
          <w:rFonts w:hint="eastAsia" w:ascii="仿宋_GB2312" w:hAnsi="仿宋_GB2312" w:eastAsia="仿宋_GB2312" w:cs="仿宋_GB2312"/>
          <w:i w:val="0"/>
          <w:caps w:val="0"/>
          <w:color w:val="000000"/>
          <w:spacing w:val="0"/>
          <w:sz w:val="32"/>
          <w:szCs w:val="32"/>
          <w:shd w:val="clear" w:fill="FFFFFF"/>
          <w:lang w:val="en-US" w:eastAsia="zh-CN"/>
        </w:rPr>
        <w:t>党政综合办公室</w:t>
      </w:r>
      <w:r>
        <w:rPr>
          <w:rFonts w:hint="eastAsia" w:ascii="仿宋_GB2312" w:hAnsi="仿宋_GB2312" w:eastAsia="仿宋_GB2312" w:cs="仿宋_GB2312"/>
          <w:i w:val="0"/>
          <w:caps w:val="0"/>
          <w:color w:val="000000"/>
          <w:spacing w:val="0"/>
          <w:sz w:val="32"/>
          <w:szCs w:val="32"/>
          <w:shd w:val="clear" w:fill="FFFFFF"/>
        </w:rPr>
        <w:t>要及时跟踪改革任务落实情况，适时会同</w:t>
      </w:r>
      <w:r>
        <w:rPr>
          <w:rFonts w:hint="eastAsia" w:ascii="仿宋_GB2312" w:hAnsi="仿宋_GB2312" w:eastAsia="仿宋_GB2312" w:cs="仿宋_GB2312"/>
          <w:i w:val="0"/>
          <w:caps w:val="0"/>
          <w:color w:val="000000"/>
          <w:spacing w:val="0"/>
          <w:sz w:val="32"/>
          <w:szCs w:val="32"/>
          <w:shd w:val="clear" w:fill="FFFFFF"/>
          <w:lang w:val="en-US" w:eastAsia="zh-CN"/>
        </w:rPr>
        <w:t>党群工作部</w:t>
      </w:r>
      <w:r>
        <w:rPr>
          <w:rFonts w:hint="eastAsia" w:ascii="仿宋_GB2312" w:hAnsi="仿宋_GB2312" w:eastAsia="仿宋_GB2312" w:cs="仿宋_GB2312"/>
          <w:i w:val="0"/>
          <w:caps w:val="0"/>
          <w:color w:val="000000"/>
          <w:spacing w:val="0"/>
          <w:sz w:val="32"/>
          <w:szCs w:val="32"/>
          <w:shd w:val="clear" w:fill="FFFFFF"/>
        </w:rPr>
        <w:t>、行政审批局等有关部门单位开展督查督办和效果评估，确保各项改革任务落地见效。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18"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b w:val="0"/>
          <w:i w:val="0"/>
          <w:caps w:val="0"/>
          <w:color w:val="000000"/>
          <w:spacing w:val="0"/>
          <w:kern w:val="0"/>
          <w:sz w:val="32"/>
          <w:szCs w:val="32"/>
          <w:u w:val="none"/>
          <w:lang w:val="en-US" w:eastAsia="zh-CN" w:bidi="ar"/>
        </w:rPr>
        <w:t>附件：</w:t>
      </w:r>
      <w:r>
        <w:rPr>
          <w:rFonts w:hint="eastAsia" w:ascii="仿宋_GB2312" w:hAnsi="仿宋_GB2312" w:eastAsia="仿宋_GB2312" w:cs="仿宋_GB2312"/>
          <w:b w:val="0"/>
          <w:i w:val="0"/>
          <w:caps w:val="0"/>
          <w:color w:val="000000"/>
          <w:spacing w:val="0"/>
          <w:kern w:val="0"/>
          <w:sz w:val="32"/>
          <w:szCs w:val="32"/>
          <w:highlight w:val="none"/>
          <w:u w:val="none"/>
          <w:lang w:val="en-US" w:eastAsia="zh-CN" w:bidi="ar"/>
        </w:rPr>
        <w:t>枣庄高新区行政审批局划转事项</w:t>
      </w:r>
      <w:r>
        <w:rPr>
          <w:rFonts w:hint="eastAsia" w:ascii="仿宋_GB2312" w:hAnsi="仿宋_GB2312" w:eastAsia="仿宋_GB2312" w:cs="仿宋_GB2312"/>
          <w:b w:val="0"/>
          <w:i w:val="0"/>
          <w:caps w:val="0"/>
          <w:color w:val="000000"/>
          <w:spacing w:val="0"/>
          <w:kern w:val="0"/>
          <w:sz w:val="32"/>
          <w:szCs w:val="32"/>
          <w:u w:val="none"/>
          <w:lang w:val="en-US" w:eastAsia="zh-CN" w:bidi="ar"/>
        </w:rPr>
        <w:t>清单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71" w:firstLineChars="1900"/>
        <w:jc w:val="both"/>
        <w:textAlignment w:val="auto"/>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71" w:firstLineChars="1900"/>
        <w:jc w:val="both"/>
        <w:textAlignment w:val="auto"/>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rPr>
          <w:rFonts w:hint="default" w:ascii="仿宋_GB2312" w:hAnsi="仿宋_GB2312" w:eastAsia="仿宋_GB2312" w:cs="仿宋_GB2312"/>
          <w:b w:val="0"/>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t>枣庄高新区管理委员会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b w:val="0"/>
          <w:i w:val="0"/>
          <w:caps w:val="0"/>
          <w:color w:val="auto"/>
          <w:spacing w:val="0"/>
          <w:kern w:val="0"/>
          <w:sz w:val="32"/>
          <w:szCs w:val="32"/>
          <w:highlight w:val="none"/>
          <w:u w:val="none"/>
          <w:lang w:val="en-US" w:eastAsia="zh-CN" w:bidi="ar"/>
        </w:rPr>
        <w:t xml:space="preserve">                                   2020年11月1日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ascii="楷体_GB2312" w:hAnsi="楷体_GB2312" w:eastAsia="楷体_GB2312" w:cs="楷体_GB2312"/>
          <w:i w:val="0"/>
          <w:caps w:val="0"/>
          <w:color w:val="000000"/>
          <w:spacing w:val="0"/>
          <w:sz w:val="28"/>
          <w:szCs w:val="28"/>
          <w:shd w:val="clear" w:fill="FFFFFF"/>
          <w:lang w:val="en-US" w:eastAsia="zh-CN"/>
        </w:rPr>
      </w:pPr>
      <w:r>
        <w:rPr>
          <w:rFonts w:hint="eastAsia" w:ascii="楷体_GB2312" w:hAnsi="楷体_GB2312" w:eastAsia="楷体_GB2312" w:cs="楷体_GB2312"/>
          <w:i w:val="0"/>
          <w:caps w:val="0"/>
          <w:color w:val="000000"/>
          <w:spacing w:val="0"/>
          <w:sz w:val="28"/>
          <w:szCs w:val="28"/>
          <w:shd w:val="clear" w:fill="FFFFFF"/>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枣庄高新区行政审批局划转事项清单</w:t>
      </w:r>
    </w:p>
    <w:tbl>
      <w:tblPr>
        <w:tblStyle w:val="9"/>
        <w:tblW w:w="8757" w:type="dxa"/>
        <w:tblInd w:w="0" w:type="dxa"/>
        <w:shd w:val="clear" w:color="auto" w:fill="auto"/>
        <w:tblLayout w:type="fixed"/>
        <w:tblCellMar>
          <w:top w:w="0" w:type="dxa"/>
          <w:left w:w="0" w:type="dxa"/>
          <w:bottom w:w="0" w:type="dxa"/>
          <w:right w:w="0" w:type="dxa"/>
        </w:tblCellMar>
      </w:tblPr>
      <w:tblGrid>
        <w:gridCol w:w="580"/>
        <w:gridCol w:w="3612"/>
        <w:gridCol w:w="1603"/>
        <w:gridCol w:w="1176"/>
        <w:gridCol w:w="776"/>
        <w:gridCol w:w="1010"/>
      </w:tblGrid>
      <w:tr>
        <w:tblPrEx>
          <w:shd w:val="clear" w:color="auto" w:fill="auto"/>
          <w:tblLayout w:type="fixed"/>
          <w:tblCellMar>
            <w:top w:w="0" w:type="dxa"/>
            <w:left w:w="0" w:type="dxa"/>
            <w:bottom w:w="0" w:type="dxa"/>
            <w:right w:w="0" w:type="dxa"/>
          </w:tblCellMar>
        </w:tblPrEx>
        <w:trPr>
          <w:cantSplit/>
          <w:trHeight w:val="539" w:hRule="atLeast"/>
          <w:tblHeader/>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序号</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事项名称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事项编码</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事项类型</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业务主管部门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bidi="ar"/>
              </w:rPr>
              <w:t>备注</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电影放映单位设立</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3700000199033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印刷企业设立</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3700000139021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出版物批发、零售单位设立、变更审批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3700000139031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娱乐场所从事娱乐场所经营活动审批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3700000122024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营业性演出审批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3700000122027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互联网上网服务营业场所经营单位从事互联网上网服务经营活动许可</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3700000122034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文艺表演团体申请从事营业性演出活动许可</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3700000122036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党群工作部</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政府投资项目建议书审批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3700001004001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政府投资项目可行性研究报告审批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3700001004002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粮食收购资格认定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3700000159001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政府投资项目初步设计概算审批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3700001004003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二手车交易市场经营者和二手车经营主体备案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3700001021019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投资促进局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成品油零售经营许可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3700000121008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投资促进局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中介机构从事代理记账业务审批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3700000113004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财政金融局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城镇污水排入排水管网许可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3700000117070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因工程建设需要拆除、改动、迁移供水、排水与污水处理设施审核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3700000117075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污水处理企业经营许可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3700000117071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燃气经营许可证核发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3700000117076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燃气供应许可证核发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3700000117077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燃气经营者改动燃气设施审核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3700000117079</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新建、改建、扩建燃气工程项目审查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3700000117080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供水企业停业歇业许可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3700000117082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燃气经营者停业、歇业审批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3700000117083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建设工程消防设计审查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3700000117093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农作物种子生产经营许可</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3700000120078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河道采砂许可</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3700000119005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新建和扩建经营性公墓、农村公益性墓地审批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3700000111005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动物防疫条件许可</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3700000120008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再生育审批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3700000123026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建设项目使用林地审批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临时占用林地审批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采伐林木许可审批</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林草种子生产经营许可证审核</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3700000115046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10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林草种子生产经营许可证核发（林木良种种子的生产经营以及实行选育生产经营相结合的种子生产经营许可证的核发）</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3700000115047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临时建设审批（用地、工程）</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3700000115063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社会团体成立、变更、注销登记和章程核准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3700000111001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民办非企业单位成立、变更、注销登记和章程核准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3700000111003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种畜禽生产经营许可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3700000120001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农村集体经济组织兴办企业使用集体建设用地审核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3700001015034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乡（镇）村公共设施、公益事业使用集体建设用地审核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3700001015035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农民专业合作社登记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3700000131002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个体工商户登记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3700000131003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3700000131007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食品小作坊、小餐饮登记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3700000131018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 \l "" \l "#"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8"/>
                <w:rFonts w:hint="eastAsia" w:ascii="仿宋_GB2312" w:hAnsi="仿宋_GB2312" w:eastAsia="仿宋_GB2312" w:cs="仿宋_GB2312"/>
                <w:i w:val="0"/>
                <w:color w:val="auto"/>
                <w:sz w:val="24"/>
                <w:szCs w:val="24"/>
                <w:u w:val="none"/>
              </w:rPr>
              <w:t>危险化学品经营许可</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3700000125012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应急管理局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生产经营单位生产安全事故应急预案备案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3700001025002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应急管理局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生产、经营第二类、第三类非药品类易制毒化学品备案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3700001025003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应急管理局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烟花爆竹经营许可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3700000125013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应急管理局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市政设施建设类审批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3700000117072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城市大型户外广告设置审核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3700000117074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特殊车辆在城市道路上行驶审核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3700000117097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在街道两侧和公共场所临时堆放物料、搭建非永久性建筑物、构筑物或其他设施审核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3700000117085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在城市建筑物、设施上张挂、张贴宣传品审批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3700000117086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4"/>
                <w:szCs w:val="24"/>
                <w:u w:val="none"/>
              </w:rPr>
            </w:pP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以划拨方式取得的土地使用权转让审批———占用国有建设用地及国有未利用土地８公顷以上的审批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3700001015033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国有土地租赁审批———占用国有建设用地及国有未利用土地８公顷以上的审批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3700001015037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农村集体经济组织兴办企业使用集体建设用地审批———占用集体建设用地8公顷以上</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3700001015034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乡(镇)村公共设施、公益事业使用集体建设用地审批———占用集体建设用地８公顷以上</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3700001015035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21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企业投资项目核准———企业投资６吨/ ９座以下通用飞机和３ 吨以下直升机制造项目核准; 企业投资国家级风景名胜区、国家自然保护区、全国重点文物保护单位区域内总投资5000万元及以上旅游开发和资源保护项目, 世界自然和文化遗产保护区内总投资3000万元及以上项目核准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3700000104004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企业投资项目核准———企业投资燃气火电站 (含自备电厂) 项目在国家依据总量控制制定的建设规划内核准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3700000104004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企业投资项目备案———非跨设区的市企业投资项目备案, 不含汽车投资项目、境外投资项目</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3700001004005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创业投资企业备案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3700001004012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10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企业技术改造投资项目核准———稀土的冶炼分离和深加工项目核准、黄金的采选矿项目核准、火电站的分布式燃气发电项目核准、变性燃料乙醇项目核准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3700000107004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采伐林木许可———省和设区的市所属的国有林业企业事业单位、其他国有企业事业单位,省属国有林场除外</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测绘资质审批———测绘资质审批  (丙、丁级)、测绘资质基本信息变更 (乙、丙、丁级)</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3700000115026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18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建设项目使用林地审批———占用或者征收、征用防护林林地或者特种用途林林地面积10公顷以下的; 用材林、经济林、薪炭林林地及其采伐迹地面积35公顷以下的; 其他林地面积70公顷以下的建设项目使用林地审批, 但涉及Ⅱ级以上保护林地和国有林场项目除外</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临时占用林地审批———重点国有林区内的建设项目临时占用林地审批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森林经营单位修筑直接为林业生产服务的工程设施占用林地审批———国有林场</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3700000115035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从事清洁生产审核的咨询服务机构备案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3700001016020</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生态环境分局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13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对建设用地土壤污染风险管控和修复的评审备案———对建设用地土壤污染风险评估报告的评审和对建设用地土壤污染风险管控效果评估报告、修复效果评估报告的评审</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3700001016016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生态环境分局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建筑施工企业安全生产许可证核发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3700000117052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建设工程质量检测机构资质审批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3700000117058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施工图审查机构认定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3700000117059</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建筑施工特种作业人员操作资格认定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3700000117068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超限高层建筑工程抗震设防审批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3700000117056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房地产开发企业资质核定———二级资质</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3700000117051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施工企业主要负责人、项目负责人、专职安全生产管理人员安全生产考核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3700001017121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二级建造师注册资格认定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3700000117065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拍卖业务许可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3700000121002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投资促进局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二手车交易市场经营者和二手车经营主体备案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3700001021019</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投资促进局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单用途商业预付卡集团发卡企业和品牌发卡企业的备案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3700001021016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投资促进局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国内企业在境外投资开办企业 (金融企业除外)备案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3700001021017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投资促进局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29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  (企业) 登记———省人民政府国有资产监督管理机构履行出资人职责的公司以及该公司投资设立并持有50%以上股份的公司; 依照法律、行政法规或者国务院决定的规定, 应当由省、自治区、直辖市企业登记主管部门登记的公司; 省人民政府或其授权部门批准设立的企业、企业集团、经营进出口业务的公司; 外国企业常驻代表机构; 外国 (地区) 企业在中国境内从事生产经营活动的企业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3700000131001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保健食品、特殊医学用途配方食品广告审查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3700000131008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食品生产许可———特殊医学用途配方食品、婴幼儿配方食品、保健食品</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3700000131006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  (企业) 有关事项的备案———省级登记公司 (企业)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3700001031062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保健食品备案———除首次进口的保健食品中属于补充维生素、矿物质等营养物质的食品外</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3700001031064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10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食品网络交易第三方平台提供者、通过自建网站交易的食品生产经营者备案———食品网络交易第三方平台提供者备案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3700001031068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婴幼儿配方食品原料、食品添加剂、产品配方和包装标签备案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3700001031065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人民防空工程和其他人民防空防护设施监理资质行政许可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3700000199017</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人民防空工程和其他人民防空防护设施设计资质行政许可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3700000199018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民间融资机构开展民间资本管理业务或者民间融资登记服务业务审批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3700000199038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财政金融局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融资担保公司的设立与变更审批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3700000199036</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财政金融局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医疗器械广告审批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3700000172018</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药品、医疗器械、化妆品生产经营许可和批准证明文件的补发和注销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3700001072025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企业投资项目核准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3700000104004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依法必须进行招标的相关工程建设项目招标范围、招标方式、招标组织形式核准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3700000104005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节能审查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3700000104006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企业技术改造投资项目核准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3700000107004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建设项目用地预审</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3700000115006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矿山闭坑地质报告审批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3700000115021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地图审核审批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3700000115025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法人或者其他组织需要利用属于国家秘密的基础测绘成果审批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3700000115028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开采矿产资源审批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3700000115069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房地产开发企业资质核定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3700000117051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建筑业企业资质许可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3700000117054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工程建设涉及城市绿地、树木审批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3700000117073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供热经营许可证核发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3700000117078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供热企业停业许可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3700000117084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关闭、闲置、拆除城市环卫设施许可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3700000117087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城市建筑垃圾处置核准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3700000117088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从事城市生活垃圾经营性清扫、收集、运输、处理服务审批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3700000117089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建筑工程施工许可证核发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3700000117095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商品房预售许可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3700000117096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改变绿化规划、绿化用地的使用性质审批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3700000117100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综合执法局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取水许可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3700000119001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水利基建项目初步设计文件审批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3700000119002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占用农业灌溉水源、灌排工程设施审批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3700000119014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生产建设项目水土保持方案审批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3700000119017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洪水影响评价（类）审批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3700000119022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直销企业服务网点方案审查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3700000121012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公司（企业）登记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3700000131001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广告发布登记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3700000131005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食品生产许可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3700000131006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从事第二类精神药品零售业务审批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医疗用毒性药品经营审批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第三类医疗器械经营许可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麻醉药品和精神药品邮寄证明核发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麻醉药品和第一类精神药品运输证明核发</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执业药师注册</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药品经营许可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3700000172027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结合民用建筑修建防空地下室审批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3700000199019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防空地下室易地建设审批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3700000199020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开发利用人防工程和设施审批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3700000199021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单建人防工程建设许可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3700000199022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人防警报设施拆除审批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3700000199023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单建人防工程五十米范围内采石、取土、爆破、挖洞作业审批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3700000199024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人防工程拆除报废审批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3700000199025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新建油气管道不满足选线条件的管道保护方案的审批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3700000160003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经发局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企业投资项目备案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3700001004005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企业技术改造投资项目备案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3700001007002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经济发展局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矿业权抵押备案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3700001015005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收回国有土地使用权</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3700001015021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建设项目用地以划拨方式使用国有土地审查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3700001015022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建设项目用地以有偿方式使用国有建设用地审查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3700001015023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土地开垦区内开发未确定使用权的国有土地从事生产审查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3700001015024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单独选址的建设项目使用土地审核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3700001015032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以划拨方式取得的土地使用权转让审查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3700001015033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国有土地使用权作价出资或者入股审核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3700001015036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建设用地改变用途审核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3700001015040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房屋建筑工程和市政基础设施工程竣工验收备案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3700001017075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建设工程档案验收</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3700001017083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招标文件备案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3700001017088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招标人可以不进行施工招标的批准</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3700001017089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招标人自行办理招标事宜备案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建筑起重机械使用登记</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建筑起重机械安装（拆卸）备案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施工招标投标情况书面报告备案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房地产开发项目竣工综合验收备案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3700001017097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地下管线工程档案验收</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竣工结算文件备案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3700001017099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办理施工安全监督手续</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3700001017117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办理工程质量监督手续</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3700001017118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房地产开发经营权证明</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3700001017124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公司（企业）有关事项的备案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3700001031062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第一类医疗器械产品备案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3700001072039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第一类医疗器械生产备案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第二类医疗器械经营备案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医疗器械网络销售备案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建设工程抗震设防要求确定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3700000125014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行政许可</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专用地震监测台网和地震监测设施建设方案、竣工验收的审查和备案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3700001025011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地震应急预案备案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3700001025015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地震观测环境保护范围内建设工程项目审批</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3700000125015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地震应急避难场所功能设置方案认定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3700001025018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城市地下空间开发利用建设项目兼顾人防要求许可</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3700001099009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新建民用建筑项目减免防空地下室易地建设费审查</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3700001099010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人防工程竣工验收备案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3700001099011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国土住建社会事业局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驰名商标案件材料的审核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3700001031060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保健食品备案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3700001031064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食品网络交易第三方平台提供者、通过自建网站交易的食品生产经营者备案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3700001031068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对知识产权质押融资项目的审核</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3700001031079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181</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省级知识产权优势企业的认定</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3700001031081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182</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受理地理标志产品保护申请以及产地范围内的生产者使用地理标志产品专用标志的申请</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3700001031083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183</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药品和医疗器械委托生产备案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3700001072001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184</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药品、医疗器械、化妆品生产经营许可和批准证明文件的补发和注销</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3700001072025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185</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医疗器械召回调查评估报告和召回计划的备案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3700001072036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186</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出口医疗器械备案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3700001072042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187</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医疗器械经营企业跨行政区域设置库房备案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3700001072044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188</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基本药物供货药品样品备案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3700001072048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189</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药品使用管理规范确认</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3700001072049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r>
        <w:tblPrEx>
          <w:tblLayout w:type="fixed"/>
          <w:tblCellMar>
            <w:top w:w="0" w:type="dxa"/>
            <w:left w:w="0" w:type="dxa"/>
            <w:bottom w:w="0" w:type="dxa"/>
            <w:right w:w="0" w:type="dxa"/>
          </w:tblCellMar>
        </w:tblPrEx>
        <w:trPr>
          <w:cantSplit/>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190</w:t>
            </w:r>
          </w:p>
        </w:tc>
        <w:tc>
          <w:tcPr>
            <w:tcW w:w="3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医疗机构炮制中药饮片备案</w:t>
            </w:r>
          </w:p>
        </w:tc>
        <w:tc>
          <w:tcPr>
            <w:tcW w:w="1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 xml:space="preserve">3700001072050 </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其他权力</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行政审批局</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市级权限</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p>
    <w:p>
      <w:pPr>
        <w:jc w:val="both"/>
        <w:rPr>
          <w:rFonts w:hint="eastAsia" w:ascii="仿宋_GB2312" w:hAnsi="仿宋_GB2312" w:eastAsia="仿宋_GB2312" w:cs="仿宋_GB2312"/>
          <w:sz w:val="32"/>
          <w:szCs w:val="32"/>
        </w:rPr>
      </w:pPr>
    </w:p>
    <w:sectPr>
      <w:footerReference r:id="rId3" w:type="default"/>
      <w:pgSz w:w="11906" w:h="16838"/>
      <w:pgMar w:top="2041" w:right="1587" w:bottom="2041" w:left="1587" w:header="851" w:footer="1644" w:gutter="0"/>
      <w:pgNumType w:fmt="numberInDash"/>
      <w:cols w:space="0" w:num="1"/>
      <w:rtlGutter w:val="0"/>
      <w:docGrid w:type="linesAndChars" w:linePitch="28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ÃƒÂ¥Ã‚Â¾Ã‚Â®ÃƒÂ¨Ã‚Â½Ã‚Â¯ÃƒÂ©Ã¢â">
    <w:altName w:val="Courier New"/>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Marlett">
    <w:panose1 w:val="00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300A8"/>
    <w:multiLevelType w:val="singleLevel"/>
    <w:tmpl w:val="50F300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82D54"/>
    <w:rsid w:val="04F94902"/>
    <w:rsid w:val="0E19634E"/>
    <w:rsid w:val="14385C08"/>
    <w:rsid w:val="16861210"/>
    <w:rsid w:val="1BD561AD"/>
    <w:rsid w:val="1C360318"/>
    <w:rsid w:val="1DED584B"/>
    <w:rsid w:val="21EF77FA"/>
    <w:rsid w:val="28A65126"/>
    <w:rsid w:val="29335E4B"/>
    <w:rsid w:val="31BF1E21"/>
    <w:rsid w:val="35685ED1"/>
    <w:rsid w:val="37142A74"/>
    <w:rsid w:val="37720BD8"/>
    <w:rsid w:val="3BA82D54"/>
    <w:rsid w:val="3F776E26"/>
    <w:rsid w:val="47D40011"/>
    <w:rsid w:val="52A02454"/>
    <w:rsid w:val="545904CE"/>
    <w:rsid w:val="586279BD"/>
    <w:rsid w:val="5C2C7290"/>
    <w:rsid w:val="5E7359F2"/>
    <w:rsid w:val="60F719F8"/>
    <w:rsid w:val="61A37AB9"/>
    <w:rsid w:val="6972662F"/>
    <w:rsid w:val="734846A0"/>
    <w:rsid w:val="75232497"/>
    <w:rsid w:val="77CF5977"/>
    <w:rsid w:val="7C1F3E93"/>
    <w:rsid w:val="7D0207EE"/>
    <w:rsid w:val="7EDE03A4"/>
    <w:rsid w:val="7EF723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580" w:lineRule="exact"/>
      <w:ind w:firstLine="723" w:firstLineChars="200"/>
      <w:jc w:val="center"/>
    </w:pPr>
    <w:rPr>
      <w:rFonts w:ascii="仿宋_GB2312" w:eastAsia="黑体"/>
      <w:b/>
      <w:bCs/>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10">
    <w:name w:val="font61"/>
    <w:basedOn w:val="7"/>
    <w:qFormat/>
    <w:uiPriority w:val="0"/>
    <w:rPr>
      <w:rFonts w:hint="eastAsia" w:ascii="宋体" w:hAnsi="宋体" w:eastAsia="宋体" w:cs="宋体"/>
      <w:color w:val="000000"/>
      <w:sz w:val="28"/>
      <w:szCs w:val="28"/>
      <w:u w:val="none"/>
    </w:rPr>
  </w:style>
  <w:style w:type="character" w:customStyle="1" w:styleId="11">
    <w:name w:val="font71"/>
    <w:basedOn w:val="7"/>
    <w:qFormat/>
    <w:uiPriority w:val="0"/>
    <w:rPr>
      <w:rFonts w:hint="eastAsia" w:ascii="仿宋_GB2312" w:eastAsia="仿宋_GB2312" w:cs="仿宋_GB2312"/>
      <w:color w:val="000000"/>
      <w:sz w:val="28"/>
      <w:szCs w:val="28"/>
      <w:u w:val="none"/>
    </w:rPr>
  </w:style>
  <w:style w:type="character" w:customStyle="1" w:styleId="12">
    <w:name w:val="font41"/>
    <w:basedOn w:val="7"/>
    <w:qFormat/>
    <w:uiPriority w:val="0"/>
    <w:rPr>
      <w:rFonts w:hint="eastAsia" w:ascii="仿宋_GB2312" w:eastAsia="仿宋_GB2312" w:cs="仿宋_GB2312"/>
      <w:color w:val="000000"/>
      <w:sz w:val="28"/>
      <w:szCs w:val="28"/>
      <w:u w:val="none"/>
    </w:rPr>
  </w:style>
  <w:style w:type="character" w:customStyle="1" w:styleId="13">
    <w:name w:val="font11"/>
    <w:basedOn w:val="7"/>
    <w:qFormat/>
    <w:uiPriority w:val="0"/>
    <w:rPr>
      <w:rFonts w:hint="eastAsia" w:ascii="仿宋_GB2312" w:eastAsia="仿宋_GB2312" w:cs="仿宋_GB2312"/>
      <w:color w:val="000000"/>
      <w:sz w:val="28"/>
      <w:szCs w:val="28"/>
      <w:u w:val="none"/>
    </w:rPr>
  </w:style>
  <w:style w:type="character" w:customStyle="1" w:styleId="14">
    <w:name w:val="font31"/>
    <w:basedOn w:val="7"/>
    <w:qFormat/>
    <w:uiPriority w:val="0"/>
    <w:rPr>
      <w:rFonts w:hint="eastAsia" w:ascii="仿宋_GB2312" w:eastAsia="仿宋_GB2312" w:cs="仿宋_GB2312"/>
      <w:color w:val="000000"/>
      <w:sz w:val="28"/>
      <w:szCs w:val="28"/>
      <w:u w:val="none"/>
    </w:rPr>
  </w:style>
  <w:style w:type="character" w:customStyle="1" w:styleId="15">
    <w:name w:val="font21"/>
    <w:basedOn w:val="7"/>
    <w:qFormat/>
    <w:uiPriority w:val="0"/>
    <w:rPr>
      <w:rFonts w:hint="eastAsia" w:ascii="仿宋_GB2312" w:eastAsia="仿宋_GB2312" w:cs="仿宋_GB2312"/>
      <w:color w:val="000000"/>
      <w:sz w:val="28"/>
      <w:szCs w:val="28"/>
      <w:u w:val="none"/>
    </w:rPr>
  </w:style>
  <w:style w:type="character" w:customStyle="1" w:styleId="16">
    <w:name w:val="font81"/>
    <w:basedOn w:val="7"/>
    <w:qFormat/>
    <w:uiPriority w:val="0"/>
    <w:rPr>
      <w:rFonts w:hint="eastAsia" w:ascii="仿宋_GB2312" w:eastAsia="仿宋_GB2312" w:cs="仿宋_GB2312"/>
      <w:color w:val="000000"/>
      <w:sz w:val="28"/>
      <w:szCs w:val="28"/>
      <w:u w:val="none"/>
    </w:rPr>
  </w:style>
  <w:style w:type="character" w:customStyle="1" w:styleId="17">
    <w:name w:val="font51"/>
    <w:basedOn w:val="7"/>
    <w:qFormat/>
    <w:uiPriority w:val="0"/>
    <w:rPr>
      <w:rFonts w:hint="eastAsia" w:ascii="宋体" w:hAnsi="宋体" w:eastAsia="宋体" w:cs="宋体"/>
      <w:color w:val="000000"/>
      <w:sz w:val="28"/>
      <w:szCs w:val="28"/>
      <w:u w:val="none"/>
    </w:rPr>
  </w:style>
  <w:style w:type="character" w:customStyle="1" w:styleId="1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8744</Words>
  <Characters>11321</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2020-10-25T06:41:00Z</dcterms:created>
  <dc:creator>赵青</dc:creator>
  <cp:lastModifiedBy>Administrator</cp:lastModifiedBy>
  <cp:lastPrinted>2020-11-20T01:02:40Z</cp:lastPrinted>
  <dcterms:modified xsi:type="dcterms:W3CDTF">2020-11-20T01:05:52Z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